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La politica migratoria dell'UE: che cos'è?</w:t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Cosa sentiamo dire dell'Unione Europea quando si parla di immigrazione? 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br w:type="textWrapping"/>
        <w:t xml:space="preserve">Di solito sentiamo dire che l'Europa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è un colabrodo per alcuni e una fortezza per altri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Si dice che l'Europa sia aperta ai quattro venti, ma è anche un luogo inaccessibile, pieno di barriere e ostacoli! </w:t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Al di là delle sigle, dei titoloni e degli eventi che possono far pensare che l'Europa sia a volte un colabrodo e a volte una fortezza, l'analisi della politica europea rivela uno scenario più complesso. Uno scenario in cui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la tentazione di chiudere (soprattutto i confini)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si scontra con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il principio di apertura illustrato in particolare dalla libertà di circolazione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i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highlight w:val="white"/>
          <w:rtl w:val="0"/>
        </w:rPr>
        <w:t xml:space="preserve">(pausa)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Tutte queste questioni sembrano molto complesse e spesso le persone non sono disposte ad approfondirle! Tuttavia, una visione chiara della politica di asilo e immigrazione dell'UE è essenziale per diverse ragioni;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Da una parte, pensare oggi che la politica migratoria sia una scelta esclusiva di ogni Stato europeo significa dimenticare che questi Stati condividono uno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spazio comune di circolazione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-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l'area Schengen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- e che l'esistenza stessa di questo spazio implica, anzi impone, la definizione di politiche comuni di asilo e immigrazione.  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D'altra parte, la politica europea in materia di asilo e immigrazione è al centro delle questioni decisive per l'UE e i suoi Stati membri perché rappresenta: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Una sfida politica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;  dato che la migrazione e la sua gestione sono diventate una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fonte di profonde divisioni tra gli Stati europei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Divisioni che hanno un forte impatto sul funzionamento dell'UE.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Una sfida etica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; perché le norme adottate in materia di asilo e immigrazione riguardano uomini, donne e bambini e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incidono direttamente sui loro diritti umani fondamentali.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Una sfida geopolitica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perché parlare di migrazione significa parlare delle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relazioni dell'UE con altri Paesi e regioni del mondo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Una sfida a lungo termine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perché le politiche migratorie contribuiranno a far fronte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al declino e all'invecchiamento della popolazione europea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nonché alle migrazioni climatiche.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In effetti, parlare di politica migratoria dell'UE implica contemporaneamente tre aspetti diversi: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I.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tornare alle basi della costruzione dell'UE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;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II.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comprendere il contesto attuale;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III.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avere una visione più chiara del nostro futuro comune. 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Parlare di politica migratoria europea è anche, e forse soprattutto, un modo per affrontare in maniera pedagogica un tema delicato (e anche molto controverso). Ecco perché il nostro progetto </w:t>
      </w:r>
      <w:r w:rsidDel="00000000" w:rsidR="00000000" w:rsidRPr="00000000">
        <w:rPr>
          <w:rFonts w:ascii="Montserrat" w:cs="Montserrat" w:eastAsia="Montserrat" w:hAnsi="Montserrat"/>
          <w:color w:val="a64d79"/>
          <w:highlight w:val="white"/>
          <w:rtl w:val="0"/>
        </w:rPr>
        <w:t xml:space="preserve">“Parliamo di Migrazione”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si propone di sviluppare insieme a ricercatori e attori dell’educazione non formale strumenti pedagogici a sostegno dell'educazione sulle migrazioni...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hd w:fill="f1c232" w:val="clear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Questi strumenti forniranno ai giovani - e ai meno giovani -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la chiave per costruire un futuro migliore per l'Europa.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i w:val="1"/>
          <w:color w:val="cc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cc0000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cc0000"/>
          <w:sz w:val="24"/>
          <w:szCs w:val="24"/>
          <w:rtl w:val="0"/>
        </w:rPr>
        <w:t xml:space="preserve">From here, it doesn’t correspond to the text of the video (it can change)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color w:val="cc000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cc0000"/>
          <w:highlight w:val="white"/>
          <w:rtl w:val="0"/>
        </w:rPr>
        <w:t xml:space="preserve">_____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color w:val="cc000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cc0000"/>
          <w:highlight w:val="white"/>
          <w:rtl w:val="0"/>
        </w:rPr>
        <w:t xml:space="preserve">NON FA PARTE DEL VIDEO (per ora)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In questo modo, il progetto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"Que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stioning Migrations”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contribuirà anche al raggiungimento degli </w:t>
      </w:r>
      <w:r w:rsidDel="00000000" w:rsidR="00000000" w:rsidRPr="00000000">
        <w:rPr>
          <w:rFonts w:ascii="Montserrat" w:cs="Montserrat" w:eastAsia="Montserrat" w:hAnsi="Montserrat"/>
          <w:highlight w:val="white"/>
          <w:u w:val="single"/>
          <w:rtl w:val="0"/>
        </w:rPr>
        <w:t xml:space="preserve">Obiettivi di sviluppo sostenibile definiti dall'ONU nell'Agenda 2030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SDG 4 (Istruzione di qualità):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offrire ai giovani l'opportunità di saperne di più sulle politiche migratorie dell'UE attraverso l'uso di strumenti di educazione non formale. </w:t>
      </w:r>
    </w:p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SDG 16 (Pace, giustizia e istituzioni solide):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normalizzare i processi migratori verso e all'interno dell'Europa, nonché promuovere l'integrazione e l'uguaglianza. Questo ci permetterà di lavorare insieme e di promuovere società più pacifiche e inclusive. </w:t>
      </w:r>
    </w:p>
    <w:p w:rsidR="00000000" w:rsidDel="00000000" w:rsidP="00000000" w:rsidRDefault="00000000" w:rsidRPr="00000000" w14:paraId="0000002A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SDG 17 (Partnership per gli obiettivi):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creando un progetto collettivo con sei organizzazioni europee e ricercatori accademici.</w:t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