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Μεταναστευτική πολιτική της ΕΕ: Τι είναι</w:t>
      </w:r>
    </w:p>
    <w:p w:rsidR="00000000" w:rsidDel="00000000" w:rsidP="00000000" w:rsidRDefault="00000000" w:rsidRPr="00000000" w14:paraId="00000002">
      <w:pPr>
        <w:jc w:val="both"/>
        <w:rPr>
          <w:sz w:val="24"/>
          <w:szCs w:val="24"/>
        </w:rPr>
      </w:pPr>
      <w:r w:rsidDel="00000000" w:rsidR="00000000" w:rsidRPr="00000000">
        <w:rPr>
          <w:rtl w:val="0"/>
        </w:rPr>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Σχετικά με τα ζητήματα της Ευρωπαϊκής Ένωσης και της μετανάστευσης, φαίνεται ότι όλα έχουν ήδη ειπωθεί.</w:t>
      </w:r>
    </w:p>
    <w:p w:rsidR="00000000" w:rsidDel="00000000" w:rsidP="00000000" w:rsidRDefault="00000000" w:rsidRPr="00000000" w14:paraId="00000004">
      <w:pPr>
        <w:jc w:val="both"/>
        <w:rPr>
          <w:sz w:val="24"/>
          <w:szCs w:val="24"/>
        </w:rPr>
      </w:pPr>
      <w:r w:rsidDel="00000000" w:rsidR="00000000" w:rsidRPr="00000000">
        <w:rPr>
          <w:rtl w:val="0"/>
        </w:rPr>
      </w:r>
    </w:p>
    <w:p w:rsidR="00000000" w:rsidDel="00000000" w:rsidP="00000000" w:rsidRDefault="00000000" w:rsidRPr="00000000" w14:paraId="00000005">
      <w:pPr>
        <w:jc w:val="both"/>
        <w:rPr>
          <w:sz w:val="24"/>
          <w:szCs w:val="24"/>
        </w:rPr>
      </w:pPr>
      <w:r w:rsidDel="00000000" w:rsidR="00000000" w:rsidRPr="00000000">
        <w:rPr>
          <w:sz w:val="24"/>
          <w:szCs w:val="24"/>
          <w:rtl w:val="0"/>
        </w:rPr>
        <w:t xml:space="preserve">Από τη μια πλευρά, η Ευρώπη θεωρείται </w:t>
      </w:r>
      <w:r w:rsidDel="00000000" w:rsidR="00000000" w:rsidRPr="00000000">
        <w:rPr>
          <w:sz w:val="24"/>
          <w:szCs w:val="24"/>
          <w:shd w:fill="f1c232" w:val="clear"/>
          <w:rtl w:val="0"/>
        </w:rPr>
        <w:t xml:space="preserve">ένα ανοιχτό πέρασμα</w:t>
      </w:r>
      <w:r w:rsidDel="00000000" w:rsidR="00000000" w:rsidRPr="00000000">
        <w:rPr>
          <w:sz w:val="24"/>
          <w:szCs w:val="24"/>
          <w:rtl w:val="0"/>
        </w:rPr>
        <w:t xml:space="preserve">, μια φιλόξενη ήπειρος για τους μετανάστες. Από την άλλη, η Ευρώπη θεωρείται </w:t>
      </w:r>
      <w:r w:rsidDel="00000000" w:rsidR="00000000" w:rsidRPr="00000000">
        <w:rPr>
          <w:sz w:val="24"/>
          <w:szCs w:val="24"/>
          <w:shd w:fill="f1c232" w:val="clear"/>
          <w:rtl w:val="0"/>
        </w:rPr>
        <w:t xml:space="preserve">ένα φρούριο</w:t>
      </w:r>
      <w:r w:rsidDel="00000000" w:rsidR="00000000" w:rsidRPr="00000000">
        <w:rPr>
          <w:sz w:val="24"/>
          <w:szCs w:val="24"/>
          <w:rtl w:val="0"/>
        </w:rPr>
        <w:t xml:space="preserve">, ένα απρόσιτο μέρος γεμάτο δυσκολίες κι εμπόδια!</w:t>
      </w:r>
    </w:p>
    <w:p w:rsidR="00000000" w:rsidDel="00000000" w:rsidP="00000000" w:rsidRDefault="00000000" w:rsidRPr="00000000" w14:paraId="00000006">
      <w:pPr>
        <w:jc w:val="both"/>
        <w:rPr>
          <w:sz w:val="24"/>
          <w:szCs w:val="24"/>
        </w:rPr>
      </w:pPr>
      <w:r w:rsidDel="00000000" w:rsidR="00000000" w:rsidRPr="00000000">
        <w:rPr>
          <w:rtl w:val="0"/>
        </w:rPr>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Πέρα από τις τις </w:t>
      </w:r>
      <w:r w:rsidDel="00000000" w:rsidR="00000000" w:rsidRPr="00000000">
        <w:rPr>
          <w:sz w:val="24"/>
          <w:szCs w:val="24"/>
          <w:shd w:fill="f1c232" w:val="clear"/>
          <w:rtl w:val="0"/>
        </w:rPr>
        <w:t xml:space="preserve">αιχμές και τις συγκεχυμένες ειδήσεις</w:t>
      </w:r>
      <w:r w:rsidDel="00000000" w:rsidR="00000000" w:rsidRPr="00000000">
        <w:rPr>
          <w:sz w:val="24"/>
          <w:szCs w:val="24"/>
          <w:rtl w:val="0"/>
        </w:rPr>
        <w:t xml:space="preserve"> που μπορεί να κάνουν κάποιο άτομο να πιστεύει ότι η Ευρώπη είναι άλλοτε ένα ανοιχτό πέρασμα και άλλοτε ένα φρούριο, η ανάλυση της ευρωπαϊκής πολιτικής αποκαλύπτει ένα πιο περίπλοκο </w:t>
      </w:r>
      <w:r w:rsidDel="00000000" w:rsidR="00000000" w:rsidRPr="00000000">
        <w:rPr>
          <w:color w:val="a64d79"/>
          <w:sz w:val="24"/>
          <w:szCs w:val="24"/>
          <w:rtl w:val="0"/>
        </w:rPr>
        <w:t xml:space="preserve">τοπίο</w:t>
      </w:r>
      <w:r w:rsidDel="00000000" w:rsidR="00000000" w:rsidRPr="00000000">
        <w:rPr>
          <w:sz w:val="24"/>
          <w:szCs w:val="24"/>
          <w:rtl w:val="0"/>
        </w:rPr>
        <w:t xml:space="preserve">. Ένα </w:t>
      </w:r>
      <w:r w:rsidDel="00000000" w:rsidR="00000000" w:rsidRPr="00000000">
        <w:rPr>
          <w:color w:val="a64d79"/>
          <w:sz w:val="24"/>
          <w:szCs w:val="24"/>
          <w:rtl w:val="0"/>
        </w:rPr>
        <w:t xml:space="preserve">τοπίo</w:t>
      </w:r>
      <w:r w:rsidDel="00000000" w:rsidR="00000000" w:rsidRPr="00000000">
        <w:rPr>
          <w:sz w:val="24"/>
          <w:szCs w:val="24"/>
          <w:rtl w:val="0"/>
        </w:rPr>
        <w:t xml:space="preserve"> όπου </w:t>
      </w:r>
      <w:r w:rsidDel="00000000" w:rsidR="00000000" w:rsidRPr="00000000">
        <w:rPr>
          <w:sz w:val="24"/>
          <w:szCs w:val="24"/>
          <w:shd w:fill="f1c232" w:val="clear"/>
          <w:rtl w:val="0"/>
        </w:rPr>
        <w:t xml:space="preserve">ο πειρασμός του κλεισίματος (των συνόρων) έρχεται σε σύγκρουση με την αρχή του ανοιχτού χαρακτήρα της ΕΕ,</w:t>
      </w:r>
      <w:r w:rsidDel="00000000" w:rsidR="00000000" w:rsidRPr="00000000">
        <w:rPr>
          <w:sz w:val="24"/>
          <w:szCs w:val="24"/>
          <w:rtl w:val="0"/>
        </w:rPr>
        <w:t xml:space="preserve"> που απεικονίζεται κυρίως από την ελεύθερη μετακίνηση.</w:t>
      </w:r>
    </w:p>
    <w:p w:rsidR="00000000" w:rsidDel="00000000" w:rsidP="00000000" w:rsidRDefault="00000000" w:rsidRPr="00000000" w14:paraId="00000008">
      <w:pPr>
        <w:jc w:val="both"/>
        <w:rPr>
          <w:sz w:val="24"/>
          <w:szCs w:val="24"/>
        </w:rPr>
      </w:pPr>
      <w:r w:rsidDel="00000000" w:rsidR="00000000" w:rsidRPr="00000000">
        <w:rPr>
          <w:rtl w:val="0"/>
        </w:rPr>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(παύση)</w:t>
      </w:r>
    </w:p>
    <w:p w:rsidR="00000000" w:rsidDel="00000000" w:rsidP="00000000" w:rsidRDefault="00000000" w:rsidRPr="00000000" w14:paraId="0000000A">
      <w:pPr>
        <w:jc w:val="both"/>
        <w:rPr>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Όλα αυτά τα θέματα φαίνονται πολύ περίπλοκα και ο κόσμος δεν είναι συχνά διατεθειμένος να εμβαθύνει στο ζητημα! Ωστόσο, με μια σαφή κατανόηση της ευρωπαϊκής πολιτικής για το άσυλο και την μετανάστευση διακυβεύονται πολλά ζητήματα.</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Πρώτον, αν συνεχίσουμε να πιστεύουμε ότι η μεταναστευτική πολιτική είναι μόνο εθνική υπόθεση, </w:t>
      </w:r>
      <w:r w:rsidDel="00000000" w:rsidR="00000000" w:rsidRPr="00000000">
        <w:rPr>
          <w:sz w:val="24"/>
          <w:szCs w:val="24"/>
          <w:shd w:fill="f1c232" w:val="clear"/>
          <w:rtl w:val="0"/>
        </w:rPr>
        <w:t xml:space="preserve">ξεχνάμε ότι τα ευρωπαϊκά κράτη που ανήκουν στον χώρο Σένγκεν μοιράζονται έναν κοινό χώρο ελεύθερης μετακίνησης</w:t>
      </w:r>
      <w:r w:rsidDel="00000000" w:rsidR="00000000" w:rsidRPr="00000000">
        <w:rPr>
          <w:sz w:val="24"/>
          <w:szCs w:val="24"/>
          <w:rtl w:val="0"/>
        </w:rPr>
        <w:t xml:space="preserve">. Μία από τις βασικές αρχές αυτού του χώρου συνεπάγεται (ή μάλλον επιβάλλει) τη δημιουργία κοινών πολιτικών ασύλου και μετανάστευσης.</w:t>
      </w:r>
    </w:p>
    <w:p w:rsidR="00000000" w:rsidDel="00000000" w:rsidP="00000000" w:rsidRDefault="00000000" w:rsidRPr="00000000" w14:paraId="0000000E">
      <w:pPr>
        <w:jc w:val="both"/>
        <w:rPr>
          <w:sz w:val="24"/>
          <w:szCs w:val="24"/>
        </w:rPr>
      </w:pP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Δεύτερον, επειδή η ευρωπαϊκή πολιτική για το άσυλο και τη μετανάστευση βρίσκεται στο επίκεντρο των βασικών προκλήσεων που πρέπει να αντιμετωπίσουν η Ευρωπαϊκή Ένωση και τα κράτη μέλη της. Συγκεκριμένα:</w:t>
      </w:r>
    </w:p>
    <w:p w:rsidR="00000000" w:rsidDel="00000000" w:rsidP="00000000" w:rsidRDefault="00000000" w:rsidRPr="00000000" w14:paraId="00000010">
      <w:pPr>
        <w:jc w:val="both"/>
        <w:rPr>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sz w:val="24"/>
          <w:szCs w:val="24"/>
        </w:rPr>
      </w:pPr>
      <w:r w:rsidDel="00000000" w:rsidR="00000000" w:rsidRPr="00000000">
        <w:rPr>
          <w:sz w:val="24"/>
          <w:szCs w:val="24"/>
          <w:rtl w:val="0"/>
        </w:rPr>
        <w:t xml:space="preserve">Μια πολιτική πρόκληση: η διαχείριση της μετανάστευσης έχει γίνει </w:t>
      </w:r>
      <w:r w:rsidDel="00000000" w:rsidR="00000000" w:rsidRPr="00000000">
        <w:rPr>
          <w:sz w:val="24"/>
          <w:szCs w:val="24"/>
          <w:shd w:fill="f1c232" w:val="clear"/>
          <w:rtl w:val="0"/>
        </w:rPr>
        <w:t xml:space="preserve">πηγή βαθιών διχασμών μεταξύ των ευρωπαϊκών κρατών</w:t>
      </w:r>
      <w:r w:rsidDel="00000000" w:rsidR="00000000" w:rsidRPr="00000000">
        <w:rPr>
          <w:sz w:val="24"/>
          <w:szCs w:val="24"/>
          <w:rtl w:val="0"/>
        </w:rPr>
        <w:t xml:space="preserve">. Αυτός ο διχασμός έχει σοβαρές συνέπειες για τη λειτουργία της Ε.Ε.</w:t>
      </w:r>
    </w:p>
    <w:p w:rsidR="00000000" w:rsidDel="00000000" w:rsidP="00000000" w:rsidRDefault="00000000" w:rsidRPr="00000000" w14:paraId="00000012">
      <w:pPr>
        <w:numPr>
          <w:ilvl w:val="0"/>
          <w:numId w:val="1"/>
        </w:numPr>
        <w:ind w:left="720" w:hanging="360"/>
        <w:jc w:val="both"/>
        <w:rPr>
          <w:sz w:val="24"/>
          <w:szCs w:val="24"/>
        </w:rPr>
      </w:pPr>
      <w:r w:rsidDel="00000000" w:rsidR="00000000" w:rsidRPr="00000000">
        <w:rPr>
          <w:sz w:val="24"/>
          <w:szCs w:val="24"/>
          <w:rtl w:val="0"/>
        </w:rPr>
        <w:t xml:space="preserve">Μια ηθική πρόκληση: οι κανονισμοί που υιοθετούνται από την μεταναστευτική πολιτική αφορούν άνδρες, γυναίκες και παιδιά και επηρεάζουν άμεσα τα </w:t>
      </w:r>
      <w:r w:rsidDel="00000000" w:rsidR="00000000" w:rsidRPr="00000000">
        <w:rPr>
          <w:sz w:val="24"/>
          <w:szCs w:val="24"/>
          <w:shd w:fill="f1c232" w:val="clear"/>
          <w:rtl w:val="0"/>
        </w:rPr>
        <w:t xml:space="preserve">βασικά ανθρώπινα δικαιώματά τους</w:t>
      </w:r>
      <w:r w:rsidDel="00000000" w:rsidR="00000000" w:rsidRPr="00000000">
        <w:rPr>
          <w:sz w:val="24"/>
          <w:szCs w:val="24"/>
          <w:rtl w:val="0"/>
        </w:rPr>
        <w:t xml:space="preserve">.</w:t>
      </w:r>
    </w:p>
    <w:p w:rsidR="00000000" w:rsidDel="00000000" w:rsidP="00000000" w:rsidRDefault="00000000" w:rsidRPr="00000000" w14:paraId="00000013">
      <w:pPr>
        <w:numPr>
          <w:ilvl w:val="0"/>
          <w:numId w:val="1"/>
        </w:numPr>
        <w:ind w:left="720" w:hanging="360"/>
        <w:jc w:val="both"/>
        <w:rPr>
          <w:sz w:val="24"/>
          <w:szCs w:val="24"/>
        </w:rPr>
      </w:pPr>
      <w:r w:rsidDel="00000000" w:rsidR="00000000" w:rsidRPr="00000000">
        <w:rPr>
          <w:sz w:val="24"/>
          <w:szCs w:val="24"/>
          <w:rtl w:val="0"/>
        </w:rPr>
        <w:t xml:space="preserve">Μια γεωπολιτική πρόκληση: όλες οι συζητήσεις γύρω από το θέμα της μετανάστευσης σχετίζονται με τις σχέσεις της ΕΕ με άλλες χώρες και περιοχές του κόσμου.</w:t>
      </w:r>
    </w:p>
    <w:p w:rsidR="00000000" w:rsidDel="00000000" w:rsidP="00000000" w:rsidRDefault="00000000" w:rsidRPr="00000000" w14:paraId="00000014">
      <w:pPr>
        <w:numPr>
          <w:ilvl w:val="0"/>
          <w:numId w:val="1"/>
        </w:numPr>
        <w:ind w:left="720" w:hanging="360"/>
        <w:jc w:val="both"/>
        <w:rPr>
          <w:sz w:val="24"/>
          <w:szCs w:val="24"/>
        </w:rPr>
      </w:pPr>
      <w:r w:rsidDel="00000000" w:rsidR="00000000" w:rsidRPr="00000000">
        <w:rPr>
          <w:sz w:val="24"/>
          <w:szCs w:val="24"/>
          <w:rtl w:val="0"/>
        </w:rPr>
        <w:t xml:space="preserve">Μια πρόκληση για το μέλλον μας: οι μεταναστευτικές πολιτικές θα συμβάλουν στην αντιμετώπιση του δημογραφικού προβλήματος, </w:t>
      </w:r>
      <w:r w:rsidDel="00000000" w:rsidR="00000000" w:rsidRPr="00000000">
        <w:rPr>
          <w:sz w:val="24"/>
          <w:szCs w:val="24"/>
          <w:shd w:fill="f1c232" w:val="clear"/>
          <w:rtl w:val="0"/>
        </w:rPr>
        <w:t xml:space="preserve">της γήρανσης του πληθυσμού της Ευρώπης</w:t>
      </w:r>
      <w:r w:rsidDel="00000000" w:rsidR="00000000" w:rsidRPr="00000000">
        <w:rPr>
          <w:sz w:val="24"/>
          <w:szCs w:val="24"/>
          <w:rtl w:val="0"/>
        </w:rPr>
        <w:t xml:space="preserve">, καθώς και της κλιματικής μετανάστευσης.</w:t>
      </w:r>
    </w:p>
    <w:p w:rsidR="00000000" w:rsidDel="00000000" w:rsidP="00000000" w:rsidRDefault="00000000" w:rsidRPr="00000000" w14:paraId="00000015">
      <w:pPr>
        <w:jc w:val="both"/>
        <w:rPr>
          <w:sz w:val="24"/>
          <w:szCs w:val="24"/>
        </w:rPr>
      </w:pPr>
      <w:r w:rsidDel="00000000" w:rsidR="00000000" w:rsidRPr="00000000">
        <w:rPr>
          <w:rtl w:val="0"/>
        </w:rPr>
      </w:r>
    </w:p>
    <w:p w:rsidR="00000000" w:rsidDel="00000000" w:rsidP="00000000" w:rsidRDefault="00000000" w:rsidRPr="00000000" w14:paraId="00000016">
      <w:pPr>
        <w:jc w:val="both"/>
        <w:rPr>
          <w:sz w:val="24"/>
          <w:szCs w:val="24"/>
        </w:rPr>
      </w:pPr>
      <w:r w:rsidDel="00000000" w:rsidR="00000000" w:rsidRPr="00000000">
        <w:rPr>
          <w:sz w:val="24"/>
          <w:szCs w:val="24"/>
          <w:rtl w:val="0"/>
        </w:rPr>
        <w:t xml:space="preserve">Στην πραγματικότητα, η συζήτηση για τη μεταναστευτική πολιτική της ΕΕ περιλαμβάνει ταυτόχρονα τρία στάδια δράσης: I. </w:t>
      </w:r>
      <w:r w:rsidDel="00000000" w:rsidR="00000000" w:rsidRPr="00000000">
        <w:rPr>
          <w:sz w:val="24"/>
          <w:szCs w:val="24"/>
          <w:shd w:fill="f1c232" w:val="clear"/>
          <w:rtl w:val="0"/>
        </w:rPr>
        <w:t xml:space="preserve"> Να ξαναδούμε τις βασικές αρχές της οικοδόμησης της ΕΕ,</w:t>
      </w:r>
      <w:r w:rsidDel="00000000" w:rsidR="00000000" w:rsidRPr="00000000">
        <w:rPr>
          <w:sz w:val="24"/>
          <w:szCs w:val="24"/>
          <w:rtl w:val="0"/>
        </w:rPr>
        <w:t xml:space="preserve"> II. να κατανοήσουμε το τρέχον πλαίσιο III. και να έχουμε μια πιο ξεκάθαρη εικόνα για το κοινό μας μέλλον.</w:t>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sz w:val="24"/>
          <w:szCs w:val="24"/>
          <w:shd w:fill="f1c232" w:val="clear"/>
        </w:rPr>
      </w:pPr>
      <w:r w:rsidDel="00000000" w:rsidR="00000000" w:rsidRPr="00000000">
        <w:rPr>
          <w:sz w:val="24"/>
          <w:szCs w:val="24"/>
          <w:rtl w:val="0"/>
        </w:rPr>
        <w:t xml:space="preserve">Το να μιλάμε για την ευρωπαϊκή μεταναστευτική πολιτική σημαίνει επίσης, ίσως το πιο σημαντικό,</w:t>
      </w:r>
      <w:r w:rsidDel="00000000" w:rsidR="00000000" w:rsidRPr="00000000">
        <w:rPr>
          <w:sz w:val="24"/>
          <w:szCs w:val="24"/>
          <w:rtl w:val="0"/>
        </w:rPr>
        <w:t xml:space="preserve"> </w:t>
      </w:r>
      <w:r w:rsidDel="00000000" w:rsidR="00000000" w:rsidRPr="00000000">
        <w:rPr>
          <w:sz w:val="24"/>
          <w:szCs w:val="24"/>
          <w:shd w:fill="f1c232" w:val="clear"/>
          <w:rtl w:val="0"/>
        </w:rPr>
        <w:t xml:space="preserve">έναν τρόπο προσέγγισης ενός ευαίσθητου (και μάλιστα πολύ αμφισβητούμενου) παιδαγωγικού ζητήματος.</w:t>
      </w:r>
      <w:r w:rsidDel="00000000" w:rsidR="00000000" w:rsidRPr="00000000">
        <w:rPr>
          <w:sz w:val="24"/>
          <w:szCs w:val="24"/>
          <w:rtl w:val="0"/>
        </w:rPr>
        <w:t xml:space="preserve"> Για όλους αυτούς τους λόγους, επαγγελματίες του ακαδημαϊκού χώρου και της μη τυπικής εκπαίδευσης, δημιουργήσαμε από κοινού το πρόγραμμα  "Αναθεωρώντας το μεταναστευτικό" (Questioning Migrations), με σκοπό να προτείνουμε παιδαγωγικά εργαλεία που επικεντρώνονται στην </w:t>
      </w:r>
      <w:r w:rsidDel="00000000" w:rsidR="00000000" w:rsidRPr="00000000">
        <w:rPr>
          <w:sz w:val="24"/>
          <w:szCs w:val="24"/>
          <w:shd w:fill="f1c232" w:val="clear"/>
          <w:rtl w:val="0"/>
        </w:rPr>
        <w:t xml:space="preserve">εκπαίδευση σχετικά με τη μετανάστευση.</w:t>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sz w:val="24"/>
          <w:szCs w:val="24"/>
          <w:shd w:fill="f1c232" w:val="clear"/>
        </w:rPr>
      </w:pPr>
      <w:r w:rsidDel="00000000" w:rsidR="00000000" w:rsidRPr="00000000">
        <w:rPr>
          <w:sz w:val="24"/>
          <w:szCs w:val="24"/>
          <w:rtl w:val="0"/>
        </w:rPr>
        <w:t xml:space="preserve">Αυτά τα εργαλεία,  θα παρέχουν στους νέους -και λιγότερο νέους- </w:t>
      </w:r>
      <w:r w:rsidDel="00000000" w:rsidR="00000000" w:rsidRPr="00000000">
        <w:rPr>
          <w:sz w:val="24"/>
          <w:szCs w:val="24"/>
          <w:shd w:fill="f1c232" w:val="clear"/>
          <w:rtl w:val="0"/>
        </w:rPr>
        <w:t xml:space="preserve">τα κλειδιά για την οικοδόμηση του μέλλοντος της Ευρώπης!</w:t>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i w:val="1"/>
          <w:color w:val="cc0000"/>
          <w:sz w:val="24"/>
          <w:szCs w:val="24"/>
        </w:rPr>
      </w:pPr>
      <w:r w:rsidDel="00000000" w:rsidR="00000000" w:rsidRPr="00000000">
        <w:rPr>
          <w:rFonts w:ascii="Montserrat" w:cs="Montserrat" w:eastAsia="Montserrat" w:hAnsi="Montserrat"/>
          <w:i w:val="1"/>
          <w:color w:val="cc0000"/>
          <w:sz w:val="24"/>
          <w:szCs w:val="24"/>
          <w:rtl w:val="0"/>
        </w:rPr>
        <w:t xml:space="preserve">___________</w:t>
      </w:r>
    </w:p>
    <w:p w:rsidR="00000000" w:rsidDel="00000000" w:rsidP="00000000" w:rsidRDefault="00000000" w:rsidRPr="00000000" w14:paraId="00000021">
      <w:pPr>
        <w:jc w:val="both"/>
        <w:rPr>
          <w:rFonts w:ascii="Montserrat" w:cs="Montserrat" w:eastAsia="Montserrat" w:hAnsi="Montserrat"/>
          <w:i w:val="1"/>
          <w:color w:val="cc0000"/>
          <w:sz w:val="24"/>
          <w:szCs w:val="24"/>
        </w:rPr>
      </w:pPr>
      <w:r w:rsidDel="00000000" w:rsidR="00000000" w:rsidRPr="00000000">
        <w:rPr>
          <w:rFonts w:ascii="Montserrat" w:cs="Montserrat" w:eastAsia="Montserrat" w:hAnsi="Montserrat"/>
          <w:i w:val="1"/>
          <w:color w:val="cc0000"/>
          <w:sz w:val="24"/>
          <w:szCs w:val="24"/>
          <w:rtl w:val="0"/>
        </w:rPr>
        <w:t xml:space="preserve">From here, it doesn’t correspond to the text of the video (it can change)</w:t>
      </w:r>
    </w:p>
    <w:p w:rsidR="00000000" w:rsidDel="00000000" w:rsidP="00000000" w:rsidRDefault="00000000" w:rsidRPr="00000000" w14:paraId="00000022">
      <w:pPr>
        <w:jc w:val="both"/>
        <w:rPr>
          <w:rFonts w:ascii="Montserrat" w:cs="Montserrat" w:eastAsia="Montserrat" w:hAnsi="Montserrat"/>
          <w:i w:val="1"/>
          <w:color w:val="cc0000"/>
          <w:sz w:val="24"/>
          <w:szCs w:val="24"/>
        </w:rPr>
      </w:pPr>
      <w:r w:rsidDel="00000000" w:rsidR="00000000" w:rsidRPr="00000000">
        <w:rPr>
          <w:rtl w:val="0"/>
        </w:rPr>
      </w:r>
    </w:p>
    <w:p w:rsidR="00000000" w:rsidDel="00000000" w:rsidP="00000000" w:rsidRDefault="00000000" w:rsidRPr="00000000" w14:paraId="00000023">
      <w:pPr>
        <w:jc w:val="both"/>
        <w:rPr>
          <w:color w:val="a61c00"/>
          <w:sz w:val="24"/>
          <w:szCs w:val="24"/>
        </w:rPr>
      </w:pPr>
      <w:r w:rsidDel="00000000" w:rsidR="00000000" w:rsidRPr="00000000">
        <w:rPr>
          <w:color w:val="a61c00"/>
          <w:sz w:val="24"/>
          <w:szCs w:val="24"/>
          <w:rtl w:val="0"/>
        </w:rPr>
        <w:t xml:space="preserve">___________</w:t>
      </w:r>
    </w:p>
    <w:p w:rsidR="00000000" w:rsidDel="00000000" w:rsidP="00000000" w:rsidRDefault="00000000" w:rsidRPr="00000000" w14:paraId="00000024">
      <w:pPr>
        <w:jc w:val="both"/>
        <w:rPr>
          <w:i w:val="1"/>
          <w:color w:val="a61c00"/>
          <w:sz w:val="24"/>
          <w:szCs w:val="24"/>
        </w:rPr>
      </w:pPr>
      <w:r w:rsidDel="00000000" w:rsidR="00000000" w:rsidRPr="00000000">
        <w:rPr>
          <w:i w:val="1"/>
          <w:color w:val="a61c00"/>
          <w:sz w:val="24"/>
          <w:szCs w:val="24"/>
          <w:rtl w:val="0"/>
        </w:rPr>
        <w:t xml:space="preserve">Από εδώ, δεν αντιστοιχεί στο κείμενο του βίντεο (μπορεί να αλλάξει)</w:t>
      </w:r>
    </w:p>
    <w:p w:rsidR="00000000" w:rsidDel="00000000" w:rsidP="00000000" w:rsidRDefault="00000000" w:rsidRPr="00000000" w14:paraId="00000025">
      <w:pPr>
        <w:jc w:val="both"/>
        <w:rPr>
          <w:sz w:val="24"/>
          <w:szCs w:val="24"/>
        </w:rPr>
      </w:pPr>
      <w:r w:rsidDel="00000000" w:rsidR="00000000" w:rsidRPr="00000000">
        <w:rPr>
          <w:rtl w:val="0"/>
        </w:rPr>
      </w:r>
    </w:p>
    <w:p w:rsidR="00000000" w:rsidDel="00000000" w:rsidP="00000000" w:rsidRDefault="00000000" w:rsidRPr="00000000" w14:paraId="00000026">
      <w:pPr>
        <w:jc w:val="both"/>
        <w:rPr>
          <w:sz w:val="24"/>
          <w:szCs w:val="24"/>
        </w:rPr>
      </w:pPr>
      <w:r w:rsidDel="00000000" w:rsidR="00000000" w:rsidRPr="00000000">
        <w:rPr>
          <w:rtl w:val="0"/>
        </w:rPr>
      </w:r>
    </w:p>
    <w:p w:rsidR="00000000" w:rsidDel="00000000" w:rsidP="00000000" w:rsidRDefault="00000000" w:rsidRPr="00000000" w14:paraId="00000027">
      <w:pPr>
        <w:jc w:val="both"/>
        <w:rPr>
          <w:sz w:val="24"/>
          <w:szCs w:val="24"/>
        </w:rPr>
      </w:pPr>
      <w:r w:rsidDel="00000000" w:rsidR="00000000" w:rsidRPr="00000000">
        <w:rPr>
          <w:sz w:val="24"/>
          <w:szCs w:val="24"/>
          <w:rtl w:val="0"/>
        </w:rPr>
        <w:t xml:space="preserve">Με αυτόν τον τρόπο, το πρόγραμμα «Questioning Migrations» θα συμβάλει επίσης στους Στόχους Βιώσιμης Ανάπτυξης που ορίζονται από τον ΟΗΕ στην ατζέντα του 2030:</w:t>
      </w:r>
    </w:p>
    <w:p w:rsidR="00000000" w:rsidDel="00000000" w:rsidP="00000000" w:rsidRDefault="00000000" w:rsidRPr="00000000" w14:paraId="00000028">
      <w:pPr>
        <w:jc w:val="both"/>
        <w:rPr>
          <w:sz w:val="24"/>
          <w:szCs w:val="24"/>
        </w:rPr>
      </w:pPr>
      <w:r w:rsidDel="00000000" w:rsidR="00000000" w:rsidRPr="00000000">
        <w:rPr>
          <w:rtl w:val="0"/>
        </w:rPr>
      </w:r>
    </w:p>
    <w:p w:rsidR="00000000" w:rsidDel="00000000" w:rsidP="00000000" w:rsidRDefault="00000000" w:rsidRPr="00000000" w14:paraId="00000029">
      <w:pPr>
        <w:numPr>
          <w:ilvl w:val="0"/>
          <w:numId w:val="2"/>
        </w:numPr>
        <w:ind w:left="720" w:hanging="360"/>
        <w:jc w:val="both"/>
        <w:rPr>
          <w:rFonts w:ascii="Montserrat" w:cs="Montserrat" w:eastAsia="Montserrat" w:hAnsi="Montserrat"/>
          <w:sz w:val="24"/>
          <w:szCs w:val="24"/>
          <w:u w:val="none"/>
        </w:rPr>
      </w:pPr>
      <w:r w:rsidDel="00000000" w:rsidR="00000000" w:rsidRPr="00000000">
        <w:rPr>
          <w:b w:val="1"/>
          <w:sz w:val="24"/>
          <w:szCs w:val="24"/>
          <w:rtl w:val="0"/>
        </w:rPr>
        <w:t xml:space="preserve">SDG 4 (Ποιοτική εκπαίδευση):</w:t>
      </w:r>
      <w:r w:rsidDel="00000000" w:rsidR="00000000" w:rsidRPr="00000000">
        <w:rPr>
          <w:sz w:val="24"/>
          <w:szCs w:val="24"/>
          <w:rtl w:val="0"/>
        </w:rPr>
        <w:t xml:space="preserve"> παρέχοντας στους νέους ευκαιρίες να μάθουν περισσότερα για την μεταναστευτική πολιτική της ΕΕ μέσω της χρήσης εργαλείων μη τυπικής εκπαίδευσης.</w:t>
      </w:r>
    </w:p>
    <w:p w:rsidR="00000000" w:rsidDel="00000000" w:rsidP="00000000" w:rsidRDefault="00000000" w:rsidRPr="00000000" w14:paraId="0000002A">
      <w:pPr>
        <w:numPr>
          <w:ilvl w:val="0"/>
          <w:numId w:val="2"/>
        </w:numPr>
        <w:ind w:left="720" w:hanging="360"/>
        <w:jc w:val="both"/>
        <w:rPr>
          <w:rFonts w:ascii="Montserrat" w:cs="Montserrat" w:eastAsia="Montserrat" w:hAnsi="Montserrat"/>
          <w:sz w:val="24"/>
          <w:szCs w:val="24"/>
          <w:u w:val="none"/>
        </w:rPr>
      </w:pPr>
      <w:r w:rsidDel="00000000" w:rsidR="00000000" w:rsidRPr="00000000">
        <w:rPr>
          <w:b w:val="1"/>
          <w:sz w:val="24"/>
          <w:szCs w:val="24"/>
          <w:rtl w:val="0"/>
        </w:rPr>
        <w:t xml:space="preserve">SDG 16 (Ειρήνη, Δικαιοσύνη και Ισχυροί Θεσμοί): </w:t>
      </w:r>
      <w:r w:rsidDel="00000000" w:rsidR="00000000" w:rsidRPr="00000000">
        <w:rPr>
          <w:sz w:val="24"/>
          <w:szCs w:val="24"/>
          <w:rtl w:val="0"/>
        </w:rPr>
        <w:t xml:space="preserve">κανονικοποιώντας τη μετανάστευση προς και εντός της Ευρώπης και ευνοώντας έτσι την ένταξη και την ισότητα. Αυτό θα μας επιτρέψει να εργαστούμε μαζί και να προωθήσουμε ειρηνικές και συμπεριληπτικές κοινωνίες.</w:t>
      </w:r>
    </w:p>
    <w:p w:rsidR="00000000" w:rsidDel="00000000" w:rsidP="00000000" w:rsidRDefault="00000000" w:rsidRPr="00000000" w14:paraId="0000002B">
      <w:pPr>
        <w:numPr>
          <w:ilvl w:val="0"/>
          <w:numId w:val="2"/>
        </w:numPr>
        <w:ind w:left="720" w:hanging="360"/>
        <w:jc w:val="both"/>
        <w:rPr>
          <w:rFonts w:ascii="Montserrat" w:cs="Montserrat" w:eastAsia="Montserrat" w:hAnsi="Montserrat"/>
          <w:sz w:val="24"/>
          <w:szCs w:val="24"/>
          <w:u w:val="none"/>
        </w:rPr>
      </w:pPr>
      <w:r w:rsidDel="00000000" w:rsidR="00000000" w:rsidRPr="00000000">
        <w:rPr>
          <w:b w:val="1"/>
          <w:sz w:val="24"/>
          <w:szCs w:val="24"/>
          <w:rtl w:val="0"/>
        </w:rPr>
        <w:t xml:space="preserve">SDG 17 (Συνεργασίες για τους στόχους): </w:t>
      </w:r>
      <w:r w:rsidDel="00000000" w:rsidR="00000000" w:rsidRPr="00000000">
        <w:rPr>
          <w:sz w:val="24"/>
          <w:szCs w:val="24"/>
          <w:rtl w:val="0"/>
        </w:rPr>
        <w:t xml:space="preserve">με τη δημιουργία ενός συλλογικού έργου με έξι ευρωπαϊκούς οργανισμούς και ακαδημαϊκούς ερευνητές.</w:t>
      </w:r>
    </w:p>
    <w:p w:rsidR="00000000" w:rsidDel="00000000" w:rsidP="00000000" w:rsidRDefault="00000000" w:rsidRPr="00000000" w14:paraId="0000002C">
      <w:pPr>
        <w:jc w:val="both"/>
        <w:rPr>
          <w:sz w:val="24"/>
          <w:szCs w:val="24"/>
        </w:rPr>
      </w:pPr>
      <w:r w:rsidDel="00000000" w:rsidR="00000000" w:rsidRPr="00000000">
        <w:rPr>
          <w:rtl w:val="0"/>
        </w:rPr>
      </w:r>
    </w:p>
    <w:p w:rsidR="00000000" w:rsidDel="00000000" w:rsidP="00000000" w:rsidRDefault="00000000" w:rsidRPr="00000000" w14:paraId="0000002D">
      <w:pPr>
        <w:jc w:val="both"/>
        <w:rPr>
          <w:sz w:val="24"/>
          <w:szCs w:val="24"/>
        </w:rPr>
      </w:pPr>
      <w:r w:rsidDel="00000000" w:rsidR="00000000" w:rsidRPr="00000000">
        <w:rPr>
          <w:rtl w:val="0"/>
        </w:rPr>
      </w:r>
    </w:p>
    <w:p w:rsidR="00000000" w:rsidDel="00000000" w:rsidP="00000000" w:rsidRDefault="00000000" w:rsidRPr="00000000" w14:paraId="0000002E">
      <w:pPr>
        <w:jc w:val="both"/>
        <w:rPr>
          <w:sz w:val="24"/>
          <w:szCs w:val="24"/>
        </w:rPr>
      </w:pPr>
      <w:r w:rsidDel="00000000" w:rsidR="00000000" w:rsidRPr="00000000">
        <w:rPr>
          <w:rtl w:val="0"/>
        </w:rPr>
      </w:r>
    </w:p>
    <w:p w:rsidR="00000000" w:rsidDel="00000000" w:rsidP="00000000" w:rsidRDefault="00000000" w:rsidRPr="00000000" w14:paraId="0000002F">
      <w:pPr>
        <w:jc w:val="both"/>
        <w:rPr>
          <w:sz w:val="24"/>
          <w:szCs w:val="24"/>
        </w:rPr>
      </w:pPr>
      <w:r w:rsidDel="00000000" w:rsidR="00000000" w:rsidRPr="00000000">
        <w:rPr>
          <w:rtl w:val="0"/>
        </w:rPr>
      </w:r>
    </w:p>
    <w:p w:rsidR="00000000" w:rsidDel="00000000" w:rsidP="00000000" w:rsidRDefault="00000000" w:rsidRPr="00000000" w14:paraId="00000030">
      <w:pPr>
        <w:jc w:val="both"/>
        <w:rPr>
          <w:sz w:val="24"/>
          <w:szCs w:val="24"/>
        </w:rPr>
      </w:pPr>
      <w:r w:rsidDel="00000000" w:rsidR="00000000" w:rsidRPr="00000000">
        <w:rPr>
          <w:rtl w:val="0"/>
        </w:rPr>
      </w:r>
    </w:p>
    <w:p w:rsidR="00000000" w:rsidDel="00000000" w:rsidP="00000000" w:rsidRDefault="00000000" w:rsidRPr="00000000" w14:paraId="00000031">
      <w:pPr>
        <w:jc w:val="left"/>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